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安徽艺术学院第一次学生代表大会代表名额分配表</w:t>
      </w:r>
    </w:p>
    <w:tbl>
      <w:tblPr>
        <w:tblStyle w:val="2"/>
        <w:tblW w:w="885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60"/>
        <w:gridCol w:w="1208"/>
        <w:gridCol w:w="1208"/>
        <w:gridCol w:w="2465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选举单位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代表总数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校骨干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非校、系级学生会骨干学生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代表（不低于60%）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女代表（在前两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项中名额选取）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音乐舞蹈系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新闻播音系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戏剧影视系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</w:tbl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ind w:firstLine="384"/>
        <w:jc w:val="left"/>
      </w:pPr>
      <w:r>
        <w:rPr>
          <w:b/>
          <w:bCs/>
        </w:rPr>
        <w:t>注</w:t>
      </w:r>
      <w:r>
        <w:rPr>
          <w:rFonts w:hint="eastAsia"/>
        </w:rPr>
        <w:t>：</w:t>
      </w:r>
      <w:r>
        <w:t>学生骨干包括校学生会和系学生会，校、系两级青年志愿者协会，团委各部门、校青年媒体中心、各社团的全体学生干部人员，班级班委会成员，团支部各委员。</w:t>
      </w:r>
    </w:p>
    <w:p>
      <w:pPr>
        <w:ind w:firstLine="384"/>
        <w:jc w:val="left"/>
      </w:pPr>
      <w:r>
        <w:t>各级学生会要充分考虑本科学生、学生骨干、非学生骨干、大一新生非毕业班、毕业班、 党员、少数民族等代表人数分配。其中，学生骨干人数为各系最高指标人数: 非校、系级学生会骨干学生代表为最低指标人数，根据学生骨干人数相应调整。</w:t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34A6"/>
    <w:rsid w:val="2F5F3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2021-11-08T01:39:00Z</dcterms:created>
  <dc:creator>静静</dc:creator>
  <cp:lastModifiedBy>静静</cp:lastModifiedBy>
  <dcterms:modified xsi:type="dcterms:W3CDTF">2021-11-08T01:40:40Z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7B4B0F758C2B4BF48FAC7208486206B3</vt:lpwstr>
  </property>
</Properties>
</file>